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536D" w14:textId="2FCA2AD6" w:rsidR="0032682E" w:rsidRDefault="0032682E" w:rsidP="001A4557">
      <w:pPr>
        <w:spacing w:line="240" w:lineRule="auto"/>
        <w:contextualSpacing/>
        <w:jc w:val="center"/>
        <w:rPr>
          <w:b/>
          <w:bCs/>
          <w:color w:val="212C65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A60D55" wp14:editId="11D4978F">
            <wp:simplePos x="0" y="0"/>
            <wp:positionH relativeFrom="column">
              <wp:posOffset>-704850</wp:posOffset>
            </wp:positionH>
            <wp:positionV relativeFrom="paragraph">
              <wp:posOffset>-659130</wp:posOffset>
            </wp:positionV>
            <wp:extent cx="2286005" cy="557785"/>
            <wp:effectExtent l="0" t="0" r="0" b="0"/>
            <wp:wrapNone/>
            <wp:docPr id="1925413497" name="Picture 1925413497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413497" name="Picture 1" descr="A 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9C8B6" w14:textId="6A49E459" w:rsidR="00866C57" w:rsidRPr="00FA30BC" w:rsidRDefault="00FA30BC" w:rsidP="001A4557">
      <w:pPr>
        <w:spacing w:line="240" w:lineRule="auto"/>
        <w:contextualSpacing/>
        <w:jc w:val="center"/>
        <w:rPr>
          <w:b/>
          <w:bCs/>
          <w:color w:val="212C65"/>
          <w:sz w:val="28"/>
          <w:szCs w:val="28"/>
        </w:rPr>
      </w:pPr>
      <w:r w:rsidRPr="00FA30BC">
        <w:rPr>
          <w:b/>
          <w:bCs/>
          <w:color w:val="212C65"/>
          <w:sz w:val="28"/>
          <w:szCs w:val="28"/>
        </w:rPr>
        <w:t>Institutional Review Board (IRB)</w:t>
      </w:r>
      <w:r w:rsidR="00AA3999" w:rsidRPr="00FA30BC">
        <w:rPr>
          <w:b/>
          <w:bCs/>
          <w:color w:val="212C65"/>
          <w:sz w:val="28"/>
          <w:szCs w:val="28"/>
        </w:rPr>
        <w:t xml:space="preserve"> Guide</w:t>
      </w:r>
    </w:p>
    <w:p w14:paraId="4DAAEEFF" w14:textId="0B0F051D" w:rsidR="00B203F7" w:rsidRDefault="00B203F7" w:rsidP="001A4557">
      <w:pPr>
        <w:spacing w:line="240" w:lineRule="auto"/>
        <w:contextualSpacing/>
      </w:pPr>
    </w:p>
    <w:p w14:paraId="73A64A8F" w14:textId="2BFFBAD4" w:rsidR="0037126C" w:rsidRDefault="0037126C" w:rsidP="001A4557">
      <w:pPr>
        <w:spacing w:line="240" w:lineRule="auto"/>
        <w:contextualSpacing/>
      </w:pPr>
      <w:r>
        <w:t xml:space="preserve">This guide serves as a reference for faculty and staff at CCC who want to conduct human subjects research. </w:t>
      </w:r>
      <w:r w:rsidR="00F81807">
        <w:t xml:space="preserve">The templates developed by the Institutional Review Board (IRB) help determine if a project is indeed human subjects research and, </w:t>
      </w:r>
      <w:r w:rsidR="0069141E">
        <w:t xml:space="preserve">when </w:t>
      </w:r>
      <w:r w:rsidR="00BD7E33">
        <w:t xml:space="preserve">it is, step a researcher through the process of </w:t>
      </w:r>
      <w:r w:rsidR="0032682E">
        <w:t>submitting</w:t>
      </w:r>
      <w:r w:rsidR="00BD7E33">
        <w:t xml:space="preserve"> a research proposal to the IRB. </w:t>
      </w:r>
      <w:r w:rsidR="0032682E">
        <w:t xml:space="preserve">CCC </w:t>
      </w:r>
      <w:r w:rsidR="0032682E" w:rsidRPr="0032682E">
        <w:rPr>
          <w:b/>
          <w:bCs/>
        </w:rPr>
        <w:t>requires</w:t>
      </w:r>
      <w:r w:rsidR="0032682E">
        <w:t xml:space="preserve"> that all human subjects research projects are reviewed by the IRB before the project begins</w:t>
      </w:r>
      <w:r w:rsidR="005C17B3">
        <w:t xml:space="preserve"> (</w:t>
      </w:r>
      <w:hyperlink r:id="rId8" w:history="1">
        <w:r w:rsidR="005C17B3" w:rsidRPr="005C17B3">
          <w:rPr>
            <w:rStyle w:val="Hyperlink"/>
          </w:rPr>
          <w:t>ISP 650</w:t>
        </w:r>
      </w:hyperlink>
      <w:r w:rsidR="005C17B3">
        <w:t>)</w:t>
      </w:r>
      <w:r w:rsidR="0032682E">
        <w:t xml:space="preserve">. </w:t>
      </w:r>
    </w:p>
    <w:p w14:paraId="5E2DE61A" w14:textId="77777777" w:rsidR="001A4557" w:rsidRDefault="001A4557" w:rsidP="001A4557">
      <w:pPr>
        <w:spacing w:line="240" w:lineRule="auto"/>
        <w:contextualSpacing/>
      </w:pP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FA30BC" w:rsidRPr="00FA30BC" w14:paraId="7ADC8772" w14:textId="77777777" w:rsidTr="00FA30BC">
        <w:tc>
          <w:tcPr>
            <w:tcW w:w="9350" w:type="dxa"/>
            <w:shd w:val="clear" w:color="auto" w:fill="C52033"/>
          </w:tcPr>
          <w:p w14:paraId="3DDDA3AA" w14:textId="3AE9F0B1" w:rsidR="00FA30BC" w:rsidRPr="00FA30BC" w:rsidRDefault="00FA30BC" w:rsidP="001A4557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A30BC">
              <w:rPr>
                <w:b/>
                <w:bCs/>
                <w:color w:val="FFFFFF" w:themeColor="background1"/>
                <w:sz w:val="24"/>
                <w:szCs w:val="24"/>
              </w:rPr>
              <w:t>BEFORE YOU START</w:t>
            </w:r>
          </w:p>
        </w:tc>
      </w:tr>
    </w:tbl>
    <w:p w14:paraId="0F0B6317" w14:textId="77777777" w:rsidR="00FA30BC" w:rsidRDefault="00FA30BC" w:rsidP="001A4557">
      <w:pPr>
        <w:spacing w:line="240" w:lineRule="auto"/>
        <w:contextualSpacing/>
      </w:pPr>
    </w:p>
    <w:p w14:paraId="137E1F47" w14:textId="57A3F851" w:rsidR="001B5D2B" w:rsidRPr="007804DA" w:rsidRDefault="001B5D2B" w:rsidP="001A4557">
      <w:pPr>
        <w:spacing w:line="240" w:lineRule="auto"/>
        <w:contextualSpacing/>
        <w:rPr>
          <w:b/>
          <w:bCs/>
        </w:rPr>
      </w:pPr>
      <w:r w:rsidRPr="007804DA">
        <w:rPr>
          <w:b/>
          <w:bCs/>
        </w:rPr>
        <w:t>What is the IRB?</w:t>
      </w:r>
    </w:p>
    <w:p w14:paraId="0C8B09F5" w14:textId="3E9CC1DC" w:rsidR="00D2236B" w:rsidRDefault="00471F4A" w:rsidP="001A4557">
      <w:pPr>
        <w:spacing w:line="240" w:lineRule="auto"/>
        <w:contextualSpacing/>
      </w:pPr>
      <w:r>
        <w:t xml:space="preserve">The IRB is </w:t>
      </w:r>
      <w:r w:rsidR="00973E13">
        <w:t>a group of individuals wh</w:t>
      </w:r>
      <w:r w:rsidR="007804DA">
        <w:t xml:space="preserve">o are formally designated to review and monitor research involving human subjects. </w:t>
      </w:r>
      <w:r w:rsidR="00DE497D">
        <w:t xml:space="preserve">Regulations for </w:t>
      </w:r>
      <w:r w:rsidR="00E04AE0">
        <w:t xml:space="preserve">this type of research </w:t>
      </w:r>
      <w:r w:rsidR="00380784">
        <w:t>are</w:t>
      </w:r>
      <w:r w:rsidR="00E04AE0">
        <w:t xml:space="preserve"> maintained by the</w:t>
      </w:r>
      <w:r w:rsidR="001D1016">
        <w:t xml:space="preserve"> Office for Human Research Protections (OHRP) within the</w:t>
      </w:r>
      <w:r w:rsidR="00E04AE0">
        <w:t xml:space="preserve"> Department of Health and Human Services (</w:t>
      </w:r>
      <w:r w:rsidR="001D1016">
        <w:t>HHS)</w:t>
      </w:r>
      <w:r w:rsidR="00040DAE">
        <w:t xml:space="preserve">. A complete e-copy of these regulations are available </w:t>
      </w:r>
      <w:r w:rsidR="00F211EE">
        <w:t xml:space="preserve">in </w:t>
      </w:r>
      <w:hyperlink r:id="rId9" w:history="1">
        <w:r w:rsidR="00F211EE" w:rsidRPr="00C42776">
          <w:rPr>
            <w:rStyle w:val="Hyperlink"/>
          </w:rPr>
          <w:t>the Code of Federal Regulations</w:t>
        </w:r>
      </w:hyperlink>
      <w:r w:rsidR="00F211EE">
        <w:t xml:space="preserve">. </w:t>
      </w:r>
      <w:r w:rsidR="00380784">
        <w:t xml:space="preserve">The IRB at CCC is responsible for ensuring compliance with these federal regulations. </w:t>
      </w:r>
      <w:r w:rsidR="0040118F">
        <w:t xml:space="preserve">The IRB </w:t>
      </w:r>
      <w:r w:rsidR="00516B6F">
        <w:t xml:space="preserve">at CCC </w:t>
      </w:r>
      <w:r w:rsidR="0040118F">
        <w:t xml:space="preserve">is chaired by the Director of Institutional Research and Reporting. Additional members include at least one Dean or Associate Dean and at least one faculty member. </w:t>
      </w:r>
    </w:p>
    <w:p w14:paraId="2798A319" w14:textId="77777777" w:rsidR="00471F4A" w:rsidRDefault="00471F4A" w:rsidP="001A4557">
      <w:pPr>
        <w:spacing w:line="240" w:lineRule="auto"/>
        <w:contextualSpacing/>
      </w:pPr>
    </w:p>
    <w:p w14:paraId="08662EF0" w14:textId="6A991C74" w:rsidR="00380784" w:rsidRPr="00687B18" w:rsidRDefault="00380784" w:rsidP="001A4557">
      <w:pPr>
        <w:spacing w:line="240" w:lineRule="auto"/>
        <w:contextualSpacing/>
        <w:rPr>
          <w:b/>
          <w:bCs/>
        </w:rPr>
      </w:pPr>
      <w:r w:rsidRPr="00687B18">
        <w:rPr>
          <w:b/>
          <w:bCs/>
        </w:rPr>
        <w:t xml:space="preserve">How long does IRB review take? </w:t>
      </w:r>
    </w:p>
    <w:p w14:paraId="1425DF17" w14:textId="0AED599D" w:rsidR="00380784" w:rsidRDefault="00687B18" w:rsidP="001A4557">
      <w:pPr>
        <w:spacing w:line="240" w:lineRule="auto"/>
        <w:contextualSpacing/>
      </w:pPr>
      <w:r>
        <w:t xml:space="preserve">The length of time needed for IRB review is </w:t>
      </w:r>
      <w:r w:rsidR="001C6FC9">
        <w:t xml:space="preserve">generally </w:t>
      </w:r>
      <w:r>
        <w:t xml:space="preserve">dependent upon the level of risk associated with the research project. </w:t>
      </w:r>
      <w:r w:rsidR="00257020">
        <w:t>Plan for the IRB review process to take 8 weeks</w:t>
      </w:r>
      <w:r w:rsidR="001C6FC9">
        <w:t xml:space="preserve"> after all your materials are submitted to CCC’s IRB.</w:t>
      </w:r>
    </w:p>
    <w:p w14:paraId="09AEBB90" w14:textId="77777777" w:rsidR="00D2236B" w:rsidRDefault="00D2236B" w:rsidP="001A4557">
      <w:pPr>
        <w:spacing w:line="240" w:lineRule="auto"/>
        <w:contextualSpacing/>
      </w:pPr>
    </w:p>
    <w:p w14:paraId="71FA5514" w14:textId="4351745A" w:rsidR="005541DC" w:rsidRPr="00954F84" w:rsidRDefault="005541DC" w:rsidP="001A4557">
      <w:pPr>
        <w:spacing w:line="240" w:lineRule="auto"/>
        <w:contextualSpacing/>
        <w:rPr>
          <w:b/>
          <w:bCs/>
        </w:rPr>
      </w:pPr>
      <w:r w:rsidRPr="00954F84">
        <w:rPr>
          <w:b/>
          <w:bCs/>
        </w:rPr>
        <w:t xml:space="preserve">What kinds of research are </w:t>
      </w:r>
      <w:r w:rsidRPr="00407316">
        <w:rPr>
          <w:b/>
          <w:bCs/>
          <w:u w:val="single"/>
        </w:rPr>
        <w:t>not</w:t>
      </w:r>
      <w:r w:rsidRPr="00954F84">
        <w:rPr>
          <w:b/>
          <w:bCs/>
        </w:rPr>
        <w:t xml:space="preserve"> allowed at CCC?</w:t>
      </w:r>
    </w:p>
    <w:p w14:paraId="631D8D53" w14:textId="12FB211E" w:rsidR="005541DC" w:rsidRDefault="005541DC" w:rsidP="001A4557">
      <w:pPr>
        <w:spacing w:line="240" w:lineRule="auto"/>
        <w:contextualSpacing/>
      </w:pPr>
      <w:r>
        <w:t xml:space="preserve">CCC’s IRB </w:t>
      </w:r>
      <w:r w:rsidR="00954F84">
        <w:t xml:space="preserve">has limited the types of research and study populations allowed to reduce risk and </w:t>
      </w:r>
      <w:r w:rsidR="006A61BB">
        <w:t xml:space="preserve">due to the expertise of staff on the IRB team. </w:t>
      </w:r>
      <w:r w:rsidR="008F22A8">
        <w:t>The following types of research / study populations are not reviewed, and therefore cannot be conducted, at CCC:</w:t>
      </w:r>
      <w:r w:rsidR="00954F84">
        <w:t xml:space="preserve"> </w:t>
      </w:r>
    </w:p>
    <w:p w14:paraId="703F52E4" w14:textId="399B44B7" w:rsidR="00543027" w:rsidRDefault="008F22A8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involving any type of medical </w:t>
      </w:r>
      <w:r w:rsidR="006C698C">
        <w:t>research, collection of biospecimens, or HIPAA data.</w:t>
      </w:r>
    </w:p>
    <w:p w14:paraId="7DDEBDB9" w14:textId="7E0E91B2" w:rsidR="006C698C" w:rsidRDefault="006C698C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</w:t>
      </w:r>
      <w:r w:rsidR="00224B6E">
        <w:t xml:space="preserve">involving </w:t>
      </w:r>
      <w:r w:rsidR="001D7D08">
        <w:t xml:space="preserve">drugs/substances, investigational devices, or food studies subject to FDA regulations. </w:t>
      </w:r>
    </w:p>
    <w:p w14:paraId="052C778D" w14:textId="2314DED9" w:rsidR="00543027" w:rsidRDefault="006C698C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include prisoners in the study population. If prisoners could be incidentally included (such as in an online survey), this study could be approved. However, studies </w:t>
      </w:r>
      <w:r w:rsidR="009272DF">
        <w:t>that specifically target</w:t>
      </w:r>
      <w:r>
        <w:t xml:space="preserve"> incarcerated individuals </w:t>
      </w:r>
      <w:r w:rsidR="009272DF">
        <w:t xml:space="preserve">as study participants </w:t>
      </w:r>
      <w:r>
        <w:t>are not allowed.</w:t>
      </w:r>
    </w:p>
    <w:p w14:paraId="22D3D342" w14:textId="2FF45808" w:rsidR="001D7D08" w:rsidRDefault="001D7D08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take place outside the United States. </w:t>
      </w:r>
    </w:p>
    <w:p w14:paraId="21FFCE93" w14:textId="48C3012C" w:rsidR="00407316" w:rsidRDefault="00407316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do not qualify for Exempt or Expedited review. </w:t>
      </w:r>
      <w:r w:rsidR="002D1568">
        <w:t xml:space="preserve">These are typically studies with higher levels of risk. </w:t>
      </w:r>
      <w:r>
        <w:t xml:space="preserve">Refer to </w:t>
      </w:r>
      <w:r w:rsidRPr="00D820D4">
        <w:rPr>
          <w:highlight w:val="yellow"/>
        </w:rPr>
        <w:t>Form 2</w:t>
      </w:r>
      <w:r>
        <w:t xml:space="preserve"> and </w:t>
      </w:r>
      <w:r w:rsidRPr="00D820D4">
        <w:rPr>
          <w:highlight w:val="yellow"/>
        </w:rPr>
        <w:t>Form 3</w:t>
      </w:r>
      <w:r>
        <w:t>.</w:t>
      </w:r>
      <w:r w:rsidR="002D1568">
        <w:t xml:space="preserve"> </w:t>
      </w:r>
    </w:p>
    <w:p w14:paraId="02D82FAB" w14:textId="33216A31" w:rsidR="00FA77BF" w:rsidRDefault="00FA77BF" w:rsidP="001A4557">
      <w:pPr>
        <w:spacing w:line="240" w:lineRule="auto"/>
        <w:contextualSpacing/>
        <w:rPr>
          <w:b/>
          <w:bCs/>
        </w:rPr>
      </w:pPr>
      <w:r w:rsidRPr="001A4557">
        <w:rPr>
          <w:b/>
          <w:bCs/>
        </w:rPr>
        <w:t>Wh</w:t>
      </w:r>
      <w:r w:rsidR="001A4557" w:rsidRPr="001A4557">
        <w:rPr>
          <w:b/>
          <w:bCs/>
        </w:rPr>
        <w:t>o can conduct research at CCC?</w:t>
      </w:r>
    </w:p>
    <w:p w14:paraId="7C5F47C5" w14:textId="6E513CD6" w:rsidR="00FB3E0A" w:rsidRPr="001A4557" w:rsidRDefault="00FB3E0A" w:rsidP="001A4557">
      <w:pPr>
        <w:spacing w:line="240" w:lineRule="auto"/>
        <w:contextualSpacing/>
        <w:rPr>
          <w:b/>
          <w:bCs/>
        </w:rPr>
      </w:pPr>
      <w:r>
        <w:t xml:space="preserve">Note that all research staff must complete research training prior to submitting an IRB application (see </w:t>
      </w:r>
      <w:r w:rsidRPr="00D820D4">
        <w:rPr>
          <w:highlight w:val="yellow"/>
        </w:rPr>
        <w:t>Form 4</w:t>
      </w:r>
      <w:r>
        <w:t>).</w:t>
      </w:r>
    </w:p>
    <w:p w14:paraId="757D0CA6" w14:textId="77777777" w:rsidR="00FB3E0A" w:rsidRDefault="00EA7410" w:rsidP="00DA7567">
      <w:pPr>
        <w:pStyle w:val="ListParagraph"/>
        <w:numPr>
          <w:ilvl w:val="0"/>
          <w:numId w:val="6"/>
        </w:numPr>
        <w:spacing w:line="240" w:lineRule="auto"/>
      </w:pPr>
      <w:r>
        <w:t>Faculty</w:t>
      </w:r>
      <w:r w:rsidR="00FB3E0A">
        <w:t>,</w:t>
      </w:r>
      <w:r>
        <w:t xml:space="preserve"> staff</w:t>
      </w:r>
      <w:r w:rsidR="00FB3E0A">
        <w:t>, and administrators</w:t>
      </w:r>
      <w:r>
        <w:t xml:space="preserve"> </w:t>
      </w:r>
      <w:r w:rsidR="00FB3E0A">
        <w:t xml:space="preserve">employed </w:t>
      </w:r>
      <w:r>
        <w:t xml:space="preserve">at CCC can submit IRB proposals for review. </w:t>
      </w:r>
    </w:p>
    <w:p w14:paraId="6C12AFC0" w14:textId="15651164" w:rsidR="006C2C34" w:rsidRDefault="00DE0F81" w:rsidP="00DA7567">
      <w:pPr>
        <w:pStyle w:val="ListParagraph"/>
        <w:numPr>
          <w:ilvl w:val="0"/>
          <w:numId w:val="6"/>
        </w:numPr>
        <w:spacing w:line="240" w:lineRule="auto"/>
      </w:pPr>
      <w:r>
        <w:t xml:space="preserve">CCC </w:t>
      </w:r>
      <w:r w:rsidR="00FB3E0A">
        <w:t>s</w:t>
      </w:r>
      <w:r w:rsidR="00EA7410">
        <w:t xml:space="preserve">tudents cannot serve as the Primary Investigator </w:t>
      </w:r>
      <w:r w:rsidR="00A66BCB">
        <w:t xml:space="preserve">(PI). </w:t>
      </w:r>
      <w:r w:rsidR="006C2C34">
        <w:t>CCC students</w:t>
      </w:r>
      <w:r w:rsidR="006D4EC4">
        <w:t xml:space="preserve"> can </w:t>
      </w:r>
      <w:r w:rsidR="003C47E4">
        <w:t xml:space="preserve">serve on a research team headed by someone employed by CCC (i.e., faculty, staff, administrator). </w:t>
      </w:r>
    </w:p>
    <w:p w14:paraId="53E1130C" w14:textId="017B23A2" w:rsidR="001A4557" w:rsidRDefault="00A424C9" w:rsidP="00DA7567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Faculty and staff who hav</w:t>
      </w:r>
      <w:r w:rsidR="00A04C99">
        <w:t xml:space="preserve">e IRB approval from an outside institution </w:t>
      </w:r>
      <w:r w:rsidR="007215BF">
        <w:t xml:space="preserve">and want to conduct research at CCC </w:t>
      </w:r>
      <w:r w:rsidR="00A04C99">
        <w:t>can submit their IRB materials and IRB approval letter from that institution</w:t>
      </w:r>
      <w:r w:rsidR="007215BF">
        <w:t xml:space="preserve"> (IRB of record)</w:t>
      </w:r>
      <w:r w:rsidR="00A04C99">
        <w:t xml:space="preserve"> to CCC’s IRB. </w:t>
      </w:r>
      <w:r w:rsidR="002615D6">
        <w:t>CCC’s IRB will then review and approve</w:t>
      </w:r>
      <w:r w:rsidR="0038445F">
        <w:t xml:space="preserve"> or deny the request to conduct research at CCC. </w:t>
      </w:r>
    </w:p>
    <w:p w14:paraId="1A433937" w14:textId="4A000299" w:rsidR="006C2C34" w:rsidRDefault="006C2C34" w:rsidP="00DA7567">
      <w:pPr>
        <w:pStyle w:val="ListParagraph"/>
        <w:numPr>
          <w:ilvl w:val="0"/>
          <w:numId w:val="6"/>
        </w:numPr>
        <w:spacing w:line="240" w:lineRule="auto"/>
      </w:pPr>
      <w:r>
        <w:t>Researchers not employed at CCC cannot use CCC’s IRB</w:t>
      </w:r>
      <w:r w:rsidR="004B4822">
        <w:t xml:space="preserve">. Data requests for outside research projects should be directed to the Office of Institutional Research at </w:t>
      </w:r>
      <w:hyperlink r:id="rId10" w:history="1">
        <w:r w:rsidR="00C03980" w:rsidRPr="009F73B9">
          <w:rPr>
            <w:rStyle w:val="Hyperlink"/>
          </w:rPr>
          <w:t>IR@clackamas.edu</w:t>
        </w:r>
      </w:hyperlink>
      <w:r w:rsidR="00C03980">
        <w:t xml:space="preserve"> </w:t>
      </w: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D820D4" w:rsidRPr="00D820D4" w14:paraId="580FEE3E" w14:textId="77777777" w:rsidTr="00D820D4">
        <w:tc>
          <w:tcPr>
            <w:tcW w:w="9350" w:type="dxa"/>
            <w:shd w:val="clear" w:color="auto" w:fill="C52033"/>
          </w:tcPr>
          <w:p w14:paraId="6AD71365" w14:textId="227A8428" w:rsidR="00D820D4" w:rsidRPr="00D820D4" w:rsidRDefault="00522855" w:rsidP="001A4557">
            <w:pPr>
              <w:contextualSpacing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STEPS TO COMPLETE</w:t>
            </w:r>
          </w:p>
        </w:tc>
      </w:tr>
    </w:tbl>
    <w:p w14:paraId="72B824FA" w14:textId="4066A224" w:rsidR="00CF5734" w:rsidRDefault="00CF5734" w:rsidP="001A4557">
      <w:pPr>
        <w:spacing w:line="240" w:lineRule="auto"/>
        <w:contextualSpacing/>
      </w:pPr>
    </w:p>
    <w:p w14:paraId="0012D45A" w14:textId="520809EF" w:rsidR="001B5D2B" w:rsidRPr="009E29BC" w:rsidRDefault="00CE6596" w:rsidP="001A4557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Fill out </w:t>
      </w:r>
      <w:r w:rsidRPr="00D820D4">
        <w:rPr>
          <w:highlight w:val="yellow"/>
        </w:rPr>
        <w:t>Form 1</w:t>
      </w:r>
      <w:r>
        <w:t xml:space="preserve">. </w:t>
      </w:r>
      <w:r w:rsidR="00C03980">
        <w:t>This form will</w:t>
      </w:r>
      <w:r>
        <w:t xml:space="preserve"> help you determine if your project </w:t>
      </w:r>
      <w:r w:rsidR="003108D3">
        <w:t xml:space="preserve">meets the definition of </w:t>
      </w:r>
      <w:r w:rsidR="00C03980">
        <w:t>“</w:t>
      </w:r>
      <w:r w:rsidR="003108D3">
        <w:t>human subjects research</w:t>
      </w:r>
      <w:r w:rsidR="00C03980">
        <w:t>”</w:t>
      </w:r>
      <w:r w:rsidR="003108D3">
        <w:t xml:space="preserve">. </w:t>
      </w:r>
      <w:r w:rsidR="00935A5C">
        <w:t>If Form 1 indicates your project meets the definition of “human subjects research”</w:t>
      </w:r>
      <w:r w:rsidR="003108D3">
        <w:t xml:space="preserve">, proceed to </w:t>
      </w:r>
      <w:r w:rsidR="00A51DBC">
        <w:t xml:space="preserve">step </w:t>
      </w:r>
      <w:r w:rsidR="003108D3">
        <w:t>2</w:t>
      </w:r>
      <w:r w:rsidR="00A51DBC">
        <w:t xml:space="preserve"> (below)</w:t>
      </w:r>
      <w:r w:rsidR="003108D3">
        <w:t xml:space="preserve">. </w:t>
      </w:r>
      <w:r w:rsidR="003108D3" w:rsidRPr="009E29BC">
        <w:rPr>
          <w:b/>
          <w:bCs/>
        </w:rPr>
        <w:t xml:space="preserve">If </w:t>
      </w:r>
      <w:r w:rsidR="00A51DBC" w:rsidRPr="009E29BC">
        <w:rPr>
          <w:b/>
          <w:bCs/>
        </w:rPr>
        <w:t>your project does not meet this definition</w:t>
      </w:r>
      <w:r w:rsidR="003108D3" w:rsidRPr="009E29BC">
        <w:rPr>
          <w:b/>
          <w:bCs/>
        </w:rPr>
        <w:t>, you do</w:t>
      </w:r>
      <w:r w:rsidR="00A51DBC" w:rsidRPr="009E29BC">
        <w:rPr>
          <w:b/>
          <w:bCs/>
        </w:rPr>
        <w:t xml:space="preserve"> not </w:t>
      </w:r>
      <w:r w:rsidR="009B3DC6" w:rsidRPr="009E29BC">
        <w:rPr>
          <w:b/>
          <w:bCs/>
        </w:rPr>
        <w:t>need</w:t>
      </w:r>
      <w:r w:rsidR="003108D3" w:rsidRPr="009E29BC">
        <w:rPr>
          <w:b/>
          <w:bCs/>
        </w:rPr>
        <w:t xml:space="preserve"> to go through the IRB</w:t>
      </w:r>
      <w:r w:rsidR="00D43EB4">
        <w:rPr>
          <w:b/>
          <w:bCs/>
        </w:rPr>
        <w:t xml:space="preserve"> </w:t>
      </w:r>
      <w:r w:rsidR="00335F64">
        <w:rPr>
          <w:b/>
          <w:bCs/>
        </w:rPr>
        <w:t>n</w:t>
      </w:r>
      <w:r w:rsidR="00D43EB4">
        <w:rPr>
          <w:b/>
          <w:bCs/>
        </w:rPr>
        <w:t>or continue completing forms.</w:t>
      </w:r>
    </w:p>
    <w:p w14:paraId="389A7D59" w14:textId="45D8E705" w:rsidR="00D41994" w:rsidRPr="00D17359" w:rsidRDefault="0023758F" w:rsidP="0061301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Fill out </w:t>
      </w:r>
      <w:r w:rsidRPr="00D820D4">
        <w:rPr>
          <w:highlight w:val="yellow"/>
        </w:rPr>
        <w:t>Form 2</w:t>
      </w:r>
      <w:r>
        <w:t xml:space="preserve">. </w:t>
      </w:r>
      <w:r w:rsidR="008B1A30">
        <w:t xml:space="preserve">This form will help you determine if your project qualifies for an Exempt </w:t>
      </w:r>
      <w:r w:rsidR="001F00D9">
        <w:t>R</w:t>
      </w:r>
      <w:r w:rsidR="008B1A30">
        <w:t>eview. This does not mean you do not have to go through the IRB process. Instead, this is an indicator that your study poses a low level of risk</w:t>
      </w:r>
      <w:r w:rsidR="00A91FF3">
        <w:t>. If your</w:t>
      </w:r>
      <w:r w:rsidR="00F911DA">
        <w:t xml:space="preserve"> project meets the requirements for an Exempt </w:t>
      </w:r>
      <w:r w:rsidR="001F00D9">
        <w:t>R</w:t>
      </w:r>
      <w:r w:rsidR="00F911DA">
        <w:t xml:space="preserve">eview, </w:t>
      </w:r>
      <w:r w:rsidR="005C74C9">
        <w:t xml:space="preserve">follow the steps in Section 3 of Form 2 to submit </w:t>
      </w:r>
      <w:r w:rsidR="00296C5C">
        <w:t xml:space="preserve">your proposal to the IRB. </w:t>
      </w:r>
      <w:r w:rsidR="00296C5C" w:rsidRPr="00D17359">
        <w:rPr>
          <w:b/>
          <w:bCs/>
        </w:rPr>
        <w:t xml:space="preserve">If your project does not meet the requirements for an Exempt review, </w:t>
      </w:r>
      <w:r w:rsidR="00D41994" w:rsidRPr="00D17359">
        <w:rPr>
          <w:b/>
          <w:bCs/>
        </w:rPr>
        <w:t>proceed to step 3 (below).</w:t>
      </w:r>
    </w:p>
    <w:p w14:paraId="72FEC0A8" w14:textId="4C1FEECE" w:rsidR="00624BB1" w:rsidRDefault="00D41994" w:rsidP="0061301D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296C5C">
        <w:t xml:space="preserve">ill out </w:t>
      </w:r>
      <w:r w:rsidR="00396687" w:rsidRPr="006D13CC">
        <w:rPr>
          <w:highlight w:val="yellow"/>
        </w:rPr>
        <w:t>Form 3</w:t>
      </w:r>
      <w:r w:rsidR="00396687">
        <w:t xml:space="preserve">. </w:t>
      </w:r>
      <w:r w:rsidR="004F5CDC">
        <w:t xml:space="preserve">This form </w:t>
      </w:r>
      <w:r w:rsidR="00A37E76">
        <w:t xml:space="preserve">helps you </w:t>
      </w:r>
      <w:r w:rsidR="00D860D6">
        <w:t xml:space="preserve">submit your request to the IRB for an Expedited </w:t>
      </w:r>
      <w:r w:rsidR="001F00D9">
        <w:t>R</w:t>
      </w:r>
      <w:r w:rsidR="00D860D6">
        <w:t xml:space="preserve">eview. These studies are </w:t>
      </w:r>
      <w:r w:rsidR="00C972B3">
        <w:t xml:space="preserve">human subjects research, but do not qualify for an Exempt Review. </w:t>
      </w:r>
      <w:r w:rsidR="003E155A">
        <w:t>Fill out this form and follow</w:t>
      </w:r>
      <w:r w:rsidR="000B2400">
        <w:t xml:space="preserve"> the steps in Section 10 of Form 3 to submit your proposal to the IRB. </w:t>
      </w:r>
      <w:r w:rsidR="000B2AFF" w:rsidRPr="000B2AFF">
        <w:t xml:space="preserve">Note that after you submit this form, the IRB may determine that your project does not qualify for an Expedited </w:t>
      </w:r>
      <w:r w:rsidR="001F00D9">
        <w:t>R</w:t>
      </w:r>
      <w:r w:rsidR="000B2AFF" w:rsidRPr="000B2AFF">
        <w:t xml:space="preserve">eview and will not be approved. You may be able to use the feedback in </w:t>
      </w:r>
      <w:r w:rsidR="00D47A33">
        <w:t>the Expedited Review Form (completed by the IRB)</w:t>
      </w:r>
      <w:r w:rsidR="000B2AFF" w:rsidRPr="000B2AFF">
        <w:t xml:space="preserve"> to revise your research project so that it has a lower risk level</w:t>
      </w:r>
      <w:r w:rsidR="00D77C6B">
        <w:t xml:space="preserve">. </w:t>
      </w:r>
      <w:r w:rsidR="00D55681">
        <w:t xml:space="preserve">You may receive questions, suggestions, or changes that must be </w:t>
      </w:r>
      <w:r w:rsidR="002B57FF">
        <w:t>addressed in</w:t>
      </w:r>
      <w:r w:rsidR="00B038F8">
        <w:t xml:space="preserve"> your protocol </w:t>
      </w:r>
      <w:r w:rsidR="00D24B2F">
        <w:t xml:space="preserve">via the Expedited Review Form. Please respond promptly </w:t>
      </w:r>
      <w:r w:rsidR="00DC5A78">
        <w:t>as</w:t>
      </w:r>
      <w:r w:rsidR="00D24B2F">
        <w:t xml:space="preserve"> an </w:t>
      </w:r>
      <w:r w:rsidR="004F3485">
        <w:t>E</w:t>
      </w:r>
      <w:r w:rsidR="00D24B2F">
        <w:t xml:space="preserve">xpedited </w:t>
      </w:r>
      <w:r w:rsidR="004F3485">
        <w:t>R</w:t>
      </w:r>
      <w:r w:rsidR="00D24B2F">
        <w:t xml:space="preserve">eview can take longer than </w:t>
      </w:r>
      <w:r w:rsidR="006E5425">
        <w:t xml:space="preserve">8 weeks. </w:t>
      </w:r>
    </w:p>
    <w:p w14:paraId="3093A093" w14:textId="7F751C91" w:rsidR="00850AD2" w:rsidRDefault="00850AD2" w:rsidP="00850AD2">
      <w:pPr>
        <w:spacing w:line="240" w:lineRule="auto"/>
      </w:pPr>
      <w:r>
        <w:t xml:space="preserve">Form 2 and Form 3 </w:t>
      </w:r>
      <w:r w:rsidR="008D100D">
        <w:t xml:space="preserve">both </w:t>
      </w:r>
      <w:r>
        <w:t xml:space="preserve">include a checklist of items you will need to submit to the IRB for review. </w:t>
      </w:r>
      <w:r w:rsidR="00865A8B">
        <w:t xml:space="preserve">Please note that </w:t>
      </w:r>
      <w:r w:rsidR="00865A8B" w:rsidRPr="005D5DB1">
        <w:rPr>
          <w:b/>
          <w:bCs/>
        </w:rPr>
        <w:t>all</w:t>
      </w:r>
      <w:r w:rsidR="00865A8B">
        <w:t xml:space="preserve"> research materials must be submitted </w:t>
      </w:r>
      <w:r w:rsidR="00355C95">
        <w:t xml:space="preserve">with your IRB application. </w:t>
      </w: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B30E1B" w:rsidRPr="00B30E1B" w14:paraId="215442F7" w14:textId="77777777" w:rsidTr="00B30E1B">
        <w:tc>
          <w:tcPr>
            <w:tcW w:w="9350" w:type="dxa"/>
            <w:shd w:val="clear" w:color="auto" w:fill="C52033"/>
          </w:tcPr>
          <w:p w14:paraId="72D2F029" w14:textId="74EFCA33" w:rsidR="00B30E1B" w:rsidRPr="00B30E1B" w:rsidRDefault="00B30E1B" w:rsidP="004F5CDC">
            <w:pPr>
              <w:rPr>
                <w:b/>
                <w:bCs/>
                <w:color w:val="FFFFFF" w:themeColor="background1"/>
              </w:rPr>
            </w:pPr>
            <w:r w:rsidRPr="00B30E1B">
              <w:rPr>
                <w:b/>
                <w:bCs/>
                <w:color w:val="FFFFFF" w:themeColor="background1"/>
              </w:rPr>
              <w:t>AFTER THE PROJECT IS REVIEWED</w:t>
            </w:r>
          </w:p>
        </w:tc>
      </w:tr>
    </w:tbl>
    <w:p w14:paraId="32182F5E" w14:textId="77777777" w:rsidR="004F5CDC" w:rsidRDefault="004F5CDC" w:rsidP="004F5CDC">
      <w:pPr>
        <w:spacing w:line="240" w:lineRule="auto"/>
      </w:pPr>
    </w:p>
    <w:p w14:paraId="67036663" w14:textId="101D8B20" w:rsidR="00123840" w:rsidRDefault="00A45F4A" w:rsidP="00B30E1B">
      <w:pPr>
        <w:pStyle w:val="ListParagraph"/>
        <w:numPr>
          <w:ilvl w:val="0"/>
          <w:numId w:val="5"/>
        </w:numPr>
        <w:spacing w:line="240" w:lineRule="auto"/>
      </w:pPr>
      <w:r>
        <w:t>If you need to make any changes to your study, you must submit</w:t>
      </w:r>
      <w:r w:rsidR="005F013C">
        <w:t>, and the IRB must approve,</w:t>
      </w:r>
      <w:r>
        <w:t xml:space="preserve"> </w:t>
      </w:r>
      <w:r w:rsidR="00DD55A6">
        <w:t xml:space="preserve">an </w:t>
      </w:r>
      <w:r w:rsidR="00DD55A6" w:rsidRPr="005F013C">
        <w:rPr>
          <w:highlight w:val="yellow"/>
        </w:rPr>
        <w:t>Amendment Request</w:t>
      </w:r>
      <w:r w:rsidR="00DD55A6">
        <w:t xml:space="preserve"> prior to implementing changes. </w:t>
      </w:r>
    </w:p>
    <w:p w14:paraId="3783E12F" w14:textId="5E969410" w:rsidR="005F013C" w:rsidRDefault="00497246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If any of your participants experience adverse effects from your study, you must promptly notify the IRB. </w:t>
      </w:r>
    </w:p>
    <w:p w14:paraId="280D9702" w14:textId="5C0BCB46" w:rsidR="000303B3" w:rsidRDefault="000303B3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Notify the IRB when your study has concluded. </w:t>
      </w:r>
    </w:p>
    <w:p w14:paraId="5CBEF725" w14:textId="5BDE43D6" w:rsidR="000303B3" w:rsidRDefault="000303B3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The IRB will </w:t>
      </w:r>
      <w:r w:rsidR="00F33103">
        <w:t>complete</w:t>
      </w:r>
      <w:r>
        <w:t xml:space="preserve"> an annual review of active studies</w:t>
      </w:r>
      <w:r w:rsidR="007A6B61">
        <w:t xml:space="preserve"> </w:t>
      </w:r>
      <w:r w:rsidR="00396A1E">
        <w:t>le</w:t>
      </w:r>
      <w:r w:rsidR="466647C8">
        <w:t>d</w:t>
      </w:r>
      <w:r w:rsidR="00396A1E">
        <w:t xml:space="preserve"> by an investigator who is conducting their first IRB-approved study at CCC</w:t>
      </w:r>
      <w:r>
        <w:t xml:space="preserve">. </w:t>
      </w:r>
      <w:r w:rsidR="00CF5BB0">
        <w:t>The review will</w:t>
      </w:r>
      <w:r w:rsidR="00F96725">
        <w:t xml:space="preserve"> include </w:t>
      </w:r>
      <w:r w:rsidR="00F66891">
        <w:t>asking</w:t>
      </w:r>
      <w:r w:rsidR="00450ECB">
        <w:t xml:space="preserve"> if the research has started</w:t>
      </w:r>
      <w:r w:rsidR="00F66891">
        <w:t xml:space="preserve"> or </w:t>
      </w:r>
      <w:r w:rsidR="00450ECB">
        <w:t>concluded,</w:t>
      </w:r>
      <w:r w:rsidR="005B252F">
        <w:t xml:space="preserve"> and ensuring there are no changes that require IRB approval. </w:t>
      </w:r>
      <w:r w:rsidR="003D63ED">
        <w:t>A nonresponse will result in the suspension of IRB approval.</w:t>
      </w:r>
    </w:p>
    <w:p w14:paraId="0F7DB8C4" w14:textId="77777777" w:rsidR="00123840" w:rsidRDefault="00123840" w:rsidP="004F5CDC">
      <w:pPr>
        <w:spacing w:line="240" w:lineRule="auto"/>
      </w:pPr>
    </w:p>
    <w:p w14:paraId="6850426C" w14:textId="447D8545" w:rsidR="00477B28" w:rsidRDefault="00C03980" w:rsidP="001A4557">
      <w:pPr>
        <w:spacing w:line="240" w:lineRule="auto"/>
        <w:contextualSpacing/>
      </w:pPr>
      <w:r>
        <w:t xml:space="preserve">For any questions, please email CCC’s IRB at </w:t>
      </w:r>
      <w:hyperlink r:id="rId11" w:history="1">
        <w:r w:rsidRPr="009F73B9">
          <w:rPr>
            <w:rStyle w:val="Hyperlink"/>
          </w:rPr>
          <w:t>IRB@clackamas.edu</w:t>
        </w:r>
      </w:hyperlink>
      <w:r>
        <w:t xml:space="preserve"> </w:t>
      </w:r>
    </w:p>
    <w:sectPr w:rsidR="00477B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C392" w14:textId="77777777" w:rsidR="00A169C7" w:rsidRDefault="00A169C7" w:rsidP="002C4916">
      <w:pPr>
        <w:spacing w:after="0" w:line="240" w:lineRule="auto"/>
      </w:pPr>
      <w:r>
        <w:separator/>
      </w:r>
    </w:p>
  </w:endnote>
  <w:endnote w:type="continuationSeparator" w:id="0">
    <w:p w14:paraId="6F86970F" w14:textId="77777777" w:rsidR="00A169C7" w:rsidRDefault="00A169C7" w:rsidP="002C4916">
      <w:pPr>
        <w:spacing w:after="0" w:line="240" w:lineRule="auto"/>
      </w:pPr>
      <w:r>
        <w:continuationSeparator/>
      </w:r>
    </w:p>
  </w:endnote>
  <w:endnote w:type="continuationNotice" w:id="1">
    <w:p w14:paraId="47EF847C" w14:textId="77777777" w:rsidR="00A169C7" w:rsidRDefault="00A16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BB2C" w14:textId="2BD9766B" w:rsidR="002C4916" w:rsidRPr="002C4916" w:rsidRDefault="002C4916">
    <w:pPr>
      <w:pStyle w:val="Footer"/>
      <w:rPr>
        <w:i/>
        <w:iCs/>
      </w:rPr>
    </w:pPr>
    <w:r>
      <w:rPr>
        <w:i/>
        <w:iCs/>
      </w:rPr>
      <w:t>Updated: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C224" w14:textId="77777777" w:rsidR="00A169C7" w:rsidRDefault="00A169C7" w:rsidP="002C4916">
      <w:pPr>
        <w:spacing w:after="0" w:line="240" w:lineRule="auto"/>
      </w:pPr>
      <w:r>
        <w:separator/>
      </w:r>
    </w:p>
  </w:footnote>
  <w:footnote w:type="continuationSeparator" w:id="0">
    <w:p w14:paraId="15B34EE2" w14:textId="77777777" w:rsidR="00A169C7" w:rsidRDefault="00A169C7" w:rsidP="002C4916">
      <w:pPr>
        <w:spacing w:after="0" w:line="240" w:lineRule="auto"/>
      </w:pPr>
      <w:r>
        <w:continuationSeparator/>
      </w:r>
    </w:p>
  </w:footnote>
  <w:footnote w:type="continuationNotice" w:id="1">
    <w:p w14:paraId="03B7EA7F" w14:textId="77777777" w:rsidR="00A169C7" w:rsidRDefault="00A169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BFA"/>
    <w:multiLevelType w:val="hybridMultilevel"/>
    <w:tmpl w:val="DA908414"/>
    <w:lvl w:ilvl="0" w:tplc="661470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ADB"/>
    <w:multiLevelType w:val="hybridMultilevel"/>
    <w:tmpl w:val="B3DE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6B9"/>
    <w:multiLevelType w:val="hybridMultilevel"/>
    <w:tmpl w:val="260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F3B"/>
    <w:multiLevelType w:val="hybridMultilevel"/>
    <w:tmpl w:val="9DDC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0B3"/>
    <w:multiLevelType w:val="hybridMultilevel"/>
    <w:tmpl w:val="C16A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1BF"/>
    <w:multiLevelType w:val="hybridMultilevel"/>
    <w:tmpl w:val="48F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831"/>
    <w:multiLevelType w:val="hybridMultilevel"/>
    <w:tmpl w:val="A3A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9"/>
    <w:rsid w:val="00003B91"/>
    <w:rsid w:val="00015989"/>
    <w:rsid w:val="00025ADE"/>
    <w:rsid w:val="000303B3"/>
    <w:rsid w:val="00040DAE"/>
    <w:rsid w:val="00045D2E"/>
    <w:rsid w:val="00080A85"/>
    <w:rsid w:val="000B2400"/>
    <w:rsid w:val="000B2AFF"/>
    <w:rsid w:val="000F3FE1"/>
    <w:rsid w:val="00123840"/>
    <w:rsid w:val="001A4557"/>
    <w:rsid w:val="001A6044"/>
    <w:rsid w:val="001B5D2B"/>
    <w:rsid w:val="001C6FC9"/>
    <w:rsid w:val="001C75D8"/>
    <w:rsid w:val="001D03BB"/>
    <w:rsid w:val="001D1016"/>
    <w:rsid w:val="001D7D08"/>
    <w:rsid w:val="001F00D9"/>
    <w:rsid w:val="00224B6E"/>
    <w:rsid w:val="0023758F"/>
    <w:rsid w:val="002504CB"/>
    <w:rsid w:val="00251A90"/>
    <w:rsid w:val="00257020"/>
    <w:rsid w:val="002615D6"/>
    <w:rsid w:val="00296C5C"/>
    <w:rsid w:val="002B57FF"/>
    <w:rsid w:val="002C4916"/>
    <w:rsid w:val="002D1568"/>
    <w:rsid w:val="002F37DA"/>
    <w:rsid w:val="003108D3"/>
    <w:rsid w:val="0032457F"/>
    <w:rsid w:val="0032682E"/>
    <w:rsid w:val="00335F64"/>
    <w:rsid w:val="00355C95"/>
    <w:rsid w:val="0037126C"/>
    <w:rsid w:val="00380784"/>
    <w:rsid w:val="0038445F"/>
    <w:rsid w:val="00396687"/>
    <w:rsid w:val="00396A1E"/>
    <w:rsid w:val="003A50EB"/>
    <w:rsid w:val="003B1762"/>
    <w:rsid w:val="003C47E4"/>
    <w:rsid w:val="003D63ED"/>
    <w:rsid w:val="003E155A"/>
    <w:rsid w:val="0040118F"/>
    <w:rsid w:val="00407316"/>
    <w:rsid w:val="00450ECB"/>
    <w:rsid w:val="0046042F"/>
    <w:rsid w:val="00471F4A"/>
    <w:rsid w:val="00473BE7"/>
    <w:rsid w:val="00477B28"/>
    <w:rsid w:val="00497246"/>
    <w:rsid w:val="00497C3F"/>
    <w:rsid w:val="004A63EF"/>
    <w:rsid w:val="004B4822"/>
    <w:rsid w:val="004D051B"/>
    <w:rsid w:val="004F3485"/>
    <w:rsid w:val="004F5CDC"/>
    <w:rsid w:val="00516B6F"/>
    <w:rsid w:val="00522855"/>
    <w:rsid w:val="00543027"/>
    <w:rsid w:val="005541DC"/>
    <w:rsid w:val="00566E8F"/>
    <w:rsid w:val="005A6569"/>
    <w:rsid w:val="005B252F"/>
    <w:rsid w:val="005C17B3"/>
    <w:rsid w:val="005C74C9"/>
    <w:rsid w:val="005D5DB1"/>
    <w:rsid w:val="005F013C"/>
    <w:rsid w:val="005F3FC3"/>
    <w:rsid w:val="0061301D"/>
    <w:rsid w:val="00624BB1"/>
    <w:rsid w:val="00687B18"/>
    <w:rsid w:val="0069141E"/>
    <w:rsid w:val="006968B6"/>
    <w:rsid w:val="006A61BB"/>
    <w:rsid w:val="006B1C3A"/>
    <w:rsid w:val="006C2C34"/>
    <w:rsid w:val="006C698C"/>
    <w:rsid w:val="006D13CC"/>
    <w:rsid w:val="006D4EC4"/>
    <w:rsid w:val="006E5425"/>
    <w:rsid w:val="007215BF"/>
    <w:rsid w:val="0077458A"/>
    <w:rsid w:val="007804DA"/>
    <w:rsid w:val="0079411C"/>
    <w:rsid w:val="007A6B61"/>
    <w:rsid w:val="007B73D5"/>
    <w:rsid w:val="007F45DF"/>
    <w:rsid w:val="00836B4B"/>
    <w:rsid w:val="00850AD2"/>
    <w:rsid w:val="00862F75"/>
    <w:rsid w:val="00865A8B"/>
    <w:rsid w:val="00866C57"/>
    <w:rsid w:val="008B1A30"/>
    <w:rsid w:val="008D100D"/>
    <w:rsid w:val="008F22A8"/>
    <w:rsid w:val="00902555"/>
    <w:rsid w:val="009272DF"/>
    <w:rsid w:val="00935A5C"/>
    <w:rsid w:val="00936A90"/>
    <w:rsid w:val="00954F84"/>
    <w:rsid w:val="00972EEA"/>
    <w:rsid w:val="00973E13"/>
    <w:rsid w:val="009B3DC6"/>
    <w:rsid w:val="009D2F07"/>
    <w:rsid w:val="009D588C"/>
    <w:rsid w:val="009E29BC"/>
    <w:rsid w:val="009F2E83"/>
    <w:rsid w:val="009F400D"/>
    <w:rsid w:val="00A04C99"/>
    <w:rsid w:val="00A1491F"/>
    <w:rsid w:val="00A169C7"/>
    <w:rsid w:val="00A2418C"/>
    <w:rsid w:val="00A37E76"/>
    <w:rsid w:val="00A424C9"/>
    <w:rsid w:val="00A45F4A"/>
    <w:rsid w:val="00A51DBC"/>
    <w:rsid w:val="00A66BCB"/>
    <w:rsid w:val="00A85F09"/>
    <w:rsid w:val="00A91FF3"/>
    <w:rsid w:val="00AA3999"/>
    <w:rsid w:val="00AF4F93"/>
    <w:rsid w:val="00B038F8"/>
    <w:rsid w:val="00B104B0"/>
    <w:rsid w:val="00B203F7"/>
    <w:rsid w:val="00B2164F"/>
    <w:rsid w:val="00B30E1B"/>
    <w:rsid w:val="00B32152"/>
    <w:rsid w:val="00B342BD"/>
    <w:rsid w:val="00B80963"/>
    <w:rsid w:val="00B9521C"/>
    <w:rsid w:val="00BA01D6"/>
    <w:rsid w:val="00BC5956"/>
    <w:rsid w:val="00BD7E33"/>
    <w:rsid w:val="00C03980"/>
    <w:rsid w:val="00C42776"/>
    <w:rsid w:val="00C972B3"/>
    <w:rsid w:val="00CE3E1D"/>
    <w:rsid w:val="00CE6596"/>
    <w:rsid w:val="00CF01F0"/>
    <w:rsid w:val="00CF0B92"/>
    <w:rsid w:val="00CF5734"/>
    <w:rsid w:val="00CF5BB0"/>
    <w:rsid w:val="00D03A56"/>
    <w:rsid w:val="00D170FD"/>
    <w:rsid w:val="00D17359"/>
    <w:rsid w:val="00D2236B"/>
    <w:rsid w:val="00D22B6D"/>
    <w:rsid w:val="00D24B2F"/>
    <w:rsid w:val="00D31C08"/>
    <w:rsid w:val="00D41994"/>
    <w:rsid w:val="00D43EB4"/>
    <w:rsid w:val="00D45A10"/>
    <w:rsid w:val="00D47A33"/>
    <w:rsid w:val="00D55681"/>
    <w:rsid w:val="00D64767"/>
    <w:rsid w:val="00D75658"/>
    <w:rsid w:val="00D77C6B"/>
    <w:rsid w:val="00D820D4"/>
    <w:rsid w:val="00D852F6"/>
    <w:rsid w:val="00D860D6"/>
    <w:rsid w:val="00D86776"/>
    <w:rsid w:val="00DA7567"/>
    <w:rsid w:val="00DC5A78"/>
    <w:rsid w:val="00DD55A6"/>
    <w:rsid w:val="00DE05E9"/>
    <w:rsid w:val="00DE0F81"/>
    <w:rsid w:val="00DE497D"/>
    <w:rsid w:val="00E00EC1"/>
    <w:rsid w:val="00E01436"/>
    <w:rsid w:val="00E0440A"/>
    <w:rsid w:val="00E04AE0"/>
    <w:rsid w:val="00E72A94"/>
    <w:rsid w:val="00E7511F"/>
    <w:rsid w:val="00EA7410"/>
    <w:rsid w:val="00ED687B"/>
    <w:rsid w:val="00F211EE"/>
    <w:rsid w:val="00F33103"/>
    <w:rsid w:val="00F605A3"/>
    <w:rsid w:val="00F66891"/>
    <w:rsid w:val="00F81807"/>
    <w:rsid w:val="00F911DA"/>
    <w:rsid w:val="00F96725"/>
    <w:rsid w:val="00F977C9"/>
    <w:rsid w:val="00FA30BC"/>
    <w:rsid w:val="00FA77BF"/>
    <w:rsid w:val="00FB3E0A"/>
    <w:rsid w:val="00FE492C"/>
    <w:rsid w:val="00FF0B5E"/>
    <w:rsid w:val="00FF1E3F"/>
    <w:rsid w:val="00FF3519"/>
    <w:rsid w:val="07FDBC91"/>
    <w:rsid w:val="0811286F"/>
    <w:rsid w:val="1097186A"/>
    <w:rsid w:val="466647C8"/>
    <w:rsid w:val="5FB865F1"/>
    <w:rsid w:val="639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BFD0"/>
  <w15:chartTrackingRefBased/>
  <w15:docId w15:val="{3C3BA996-B122-4E6B-87DE-D694BEB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27"/>
    <w:pPr>
      <w:ind w:left="720"/>
      <w:contextualSpacing/>
    </w:pPr>
  </w:style>
  <w:style w:type="table" w:styleId="TableGrid">
    <w:name w:val="Table Grid"/>
    <w:basedOn w:val="TableNormal"/>
    <w:uiPriority w:val="39"/>
    <w:rsid w:val="00FA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16"/>
  </w:style>
  <w:style w:type="paragraph" w:styleId="Footer">
    <w:name w:val="footer"/>
    <w:basedOn w:val="Normal"/>
    <w:link w:val="FooterChar"/>
    <w:uiPriority w:val="99"/>
    <w:unhideWhenUsed/>
    <w:rsid w:val="002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16"/>
  </w:style>
  <w:style w:type="character" w:styleId="CommentReference">
    <w:name w:val="annotation reference"/>
    <w:basedOn w:val="DefaultParagraphFont"/>
    <w:uiPriority w:val="99"/>
    <w:semiHidden/>
    <w:unhideWhenUsed/>
    <w:rsid w:val="0047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E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B2A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ckamas.edu/docs/default-source/about-us/accreditation-and-policies/institutional-and-student-services-policies-and-procedures/conduct-safety-and-security/isp-650-educational-research-involving-human-subjects.pdf?sfvrsn=1ae8768_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@clackama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@clackam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on/2018-07-19/title-45/subtitle-A/subchapter-A/part-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Links>
    <vt:vector size="24" baseType="variant">
      <vt:variant>
        <vt:i4>917565</vt:i4>
      </vt:variant>
      <vt:variant>
        <vt:i4>9</vt:i4>
      </vt:variant>
      <vt:variant>
        <vt:i4>0</vt:i4>
      </vt:variant>
      <vt:variant>
        <vt:i4>5</vt:i4>
      </vt:variant>
      <vt:variant>
        <vt:lpwstr>mailto:IRB@clackamas.edu</vt:lpwstr>
      </vt:variant>
      <vt:variant>
        <vt:lpwstr/>
      </vt:variant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mailto:IR@clackamas.edu</vt:lpwstr>
      </vt:variant>
      <vt:variant>
        <vt:lpwstr/>
      </vt:variant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https://www.ecfr.gov/on/2018-07-19/title-45/subtitle-A/subchapter-A/part-46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https://www.clackamas.edu/docs/default-source/about-us/accreditation-and-policies/institutional-and-student-services-policies-and-procedures/conduct-safety-and-security/isp-650-educational-research-involving-human-subjects.pdf?sfvrsn=1ae8768_0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Sears</dc:creator>
  <cp:keywords/>
  <dc:description/>
  <cp:lastModifiedBy>Kattie Riggs</cp:lastModifiedBy>
  <cp:revision>2</cp:revision>
  <dcterms:created xsi:type="dcterms:W3CDTF">2024-05-09T20:49:00Z</dcterms:created>
  <dcterms:modified xsi:type="dcterms:W3CDTF">2024-05-09T20:49:00Z</dcterms:modified>
</cp:coreProperties>
</file>